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9855" w:type="dxa"/>
        <w:jc w:val="center"/>
        <w:tblCellSpacing w:w="0" w:type="dxa"/>
        <w:tblInd w:w="0" w:type="dxa"/>
        <w:tblLayout w:type="fixed"/>
        <w:tblCellMar>
          <w:top w:w="30" w:type="dxa"/>
          <w:left w:w="30" w:type="dxa"/>
          <w:bottom w:w="30" w:type="dxa"/>
          <w:right w:w="30" w:type="dxa"/>
        </w:tblCellMar>
      </w:tblPr>
      <w:tblGrid>
        <w:gridCol w:w="9855"/>
      </w:tblGrid>
      <w:tr>
        <w:tblPrEx>
          <w:tblLayout w:type="fixed"/>
          <w:tblCellMar>
            <w:top w:w="30" w:type="dxa"/>
            <w:left w:w="30" w:type="dxa"/>
            <w:bottom w:w="30" w:type="dxa"/>
            <w:right w:w="30" w:type="dxa"/>
          </w:tblCellMar>
        </w:tblPrEx>
        <w:trPr>
          <w:trHeight w:val="11957" w:hRule="atLeast"/>
          <w:tblCellSpacing w:w="0" w:type="dxa"/>
          <w:jc w:val="center"/>
        </w:trPr>
        <w:tc>
          <w:tcPr>
            <w:tcW w:w="9855" w:type="dxa"/>
          </w:tcPr>
          <w:tbl>
            <w:tblPr>
              <w:tblStyle w:val="6"/>
              <w:tblW w:w="9882" w:type="dxa"/>
              <w:tblCellSpacing w:w="7" w:type="dxa"/>
              <w:tblInd w:w="0" w:type="dxa"/>
              <w:tblLayout w:type="fixed"/>
              <w:tblCellMar>
                <w:top w:w="30" w:type="dxa"/>
                <w:left w:w="30" w:type="dxa"/>
                <w:bottom w:w="30" w:type="dxa"/>
                <w:right w:w="30" w:type="dxa"/>
              </w:tblCellMar>
            </w:tblPr>
            <w:tblGrid>
              <w:gridCol w:w="9882"/>
            </w:tblGrid>
            <w:tr>
              <w:tblPrEx>
                <w:tblLayout w:type="fixed"/>
                <w:tblCellMar>
                  <w:top w:w="30" w:type="dxa"/>
                  <w:left w:w="30" w:type="dxa"/>
                  <w:bottom w:w="30" w:type="dxa"/>
                  <w:right w:w="30" w:type="dxa"/>
                </w:tblCellMar>
              </w:tblPrEx>
              <w:trPr>
                <w:tblCellSpacing w:w="7" w:type="dxa"/>
              </w:trPr>
              <w:tc>
                <w:tcPr>
                  <w:tcW w:w="9854" w:type="dxa"/>
                  <w:vAlign w:val="center"/>
                </w:tcPr>
                <w:p>
                  <w:pPr>
                    <w:widowControl/>
                    <w:spacing w:line="360" w:lineRule="auto"/>
                    <w:ind w:left="-630" w:leftChars="-300"/>
                    <w:jc w:val="center"/>
                    <w:rPr>
                      <w:rFonts w:hint="eastAsia" w:ascii="宋体" w:hAnsi="宋体" w:cs="宋体"/>
                      <w:b/>
                      <w:kern w:val="0"/>
                      <w:sz w:val="27"/>
                      <w:szCs w:val="27"/>
                    </w:rPr>
                  </w:pPr>
                  <w:r>
                    <w:rPr>
                      <w:rFonts w:hint="eastAsia" w:ascii="宋体" w:hAnsi="宋体" w:cs="宋体"/>
                      <w:b/>
                      <w:kern w:val="0"/>
                      <w:sz w:val="27"/>
                      <w:szCs w:val="27"/>
                    </w:rPr>
                    <w:t>湖南财经工业职业技术学院新建实训中心</w:t>
                  </w:r>
                </w:p>
                <w:p>
                  <w:pPr>
                    <w:widowControl/>
                    <w:spacing w:line="360" w:lineRule="auto"/>
                    <w:ind w:left="-630" w:leftChars="-300"/>
                    <w:jc w:val="center"/>
                  </w:pPr>
                  <w:bookmarkStart w:id="0" w:name="_GoBack"/>
                  <w:bookmarkEnd w:id="0"/>
                  <w:r>
                    <w:rPr>
                      <w:rFonts w:hint="eastAsia" w:ascii="宋体" w:hAnsi="宋体" w:cs="宋体"/>
                      <w:b/>
                      <w:kern w:val="0"/>
                      <w:sz w:val="27"/>
                      <w:szCs w:val="27"/>
                    </w:rPr>
                    <w:t>10KV狮茶线开关厂支线电力杆线搬迁工程磋商公告</w:t>
                  </w:r>
                </w:p>
              </w:tc>
            </w:tr>
            <w:tr>
              <w:tblPrEx>
                <w:tblLayout w:type="fixed"/>
                <w:tblCellMar>
                  <w:top w:w="30" w:type="dxa"/>
                  <w:left w:w="30" w:type="dxa"/>
                  <w:bottom w:w="30" w:type="dxa"/>
                  <w:right w:w="30" w:type="dxa"/>
                </w:tblCellMar>
              </w:tblPrEx>
              <w:trPr>
                <w:tblCellSpacing w:w="7" w:type="dxa"/>
              </w:trPr>
              <w:tc>
                <w:tcPr>
                  <w:tcW w:w="9854" w:type="dxa"/>
                  <w:vAlign w:val="center"/>
                </w:tcPr>
                <w:p>
                  <w:pPr>
                    <w:widowControl/>
                    <w:jc w:val="left"/>
                  </w:pPr>
                </w:p>
                <w:p>
                  <w:pPr>
                    <w:pStyle w:val="2"/>
                    <w:adjustRightInd w:val="0"/>
                    <w:snapToGrid w:val="0"/>
                    <w:ind w:firstLine="480" w:firstLineChars="200"/>
                    <w:rPr>
                      <w:rFonts w:hAnsi="宋体" w:cs="Courier New"/>
                      <w:sz w:val="24"/>
                      <w:szCs w:val="24"/>
                      <w:lang w:val="en-US" w:eastAsia="zh-CN"/>
                    </w:rPr>
                  </w:pPr>
                  <w:r>
                    <w:rPr>
                      <w:rFonts w:hint="eastAsia" w:hAnsi="宋体" w:cs="宋体"/>
                      <w:color w:val="000000"/>
                      <w:kern w:val="0"/>
                      <w:sz w:val="24"/>
                      <w:lang w:val="en-US" w:eastAsia="zh-CN"/>
                    </w:rPr>
                    <w:t xml:space="preserve">  </w:t>
                  </w:r>
                  <w:r>
                    <w:rPr>
                      <w:rFonts w:hint="eastAsia" w:hAnsi="宋体" w:cs="Courier New"/>
                      <w:sz w:val="24"/>
                      <w:szCs w:val="24"/>
                      <w:lang w:val="en-US" w:eastAsia="zh-CN"/>
                    </w:rPr>
                    <w:t>北京典方建设工程咨询有限公司受湖南财经工业职业技术学院的委托，对其湖南财经工业职业技术学院新建实训中心10KV狮茶线开关厂支线电力杆线搬迁工程进行竞争性磋商采购，现采用发布公告方式，邀请符合资格条件的供应商参与竞争性磋商采购活动。</w:t>
                  </w:r>
                </w:p>
                <w:p>
                  <w:pPr>
                    <w:rPr>
                      <w:rFonts w:ascii="宋体" w:hAnsi="宋体"/>
                      <w:b/>
                      <w:sz w:val="24"/>
                    </w:rPr>
                  </w:pPr>
                  <w:r>
                    <w:rPr>
                      <w:rFonts w:hint="eastAsia" w:ascii="宋体" w:hAnsi="宋体"/>
                      <w:b/>
                      <w:sz w:val="24"/>
                    </w:rPr>
                    <w:t>一、采购项目基本概况</w:t>
                  </w:r>
                </w:p>
                <w:p>
                  <w:pPr>
                    <w:ind w:firstLine="480" w:firstLineChars="200"/>
                    <w:rPr>
                      <w:rFonts w:ascii="宋体" w:hAnsi="宋体"/>
                      <w:sz w:val="24"/>
                    </w:rPr>
                  </w:pPr>
                  <w:r>
                    <w:rPr>
                      <w:rFonts w:hint="eastAsia" w:ascii="宋体" w:hAnsi="宋体"/>
                      <w:sz w:val="24"/>
                    </w:rPr>
                    <w:t>1、采购项目名称：湖南财经工业职业技术学院新建实训中心10KV狮茶线开关厂支线电力杆线搬迁工程</w:t>
                  </w:r>
                </w:p>
                <w:p>
                  <w:pPr>
                    <w:ind w:firstLine="480" w:firstLineChars="200"/>
                    <w:rPr>
                      <w:rFonts w:ascii="宋体" w:hAnsi="宋体"/>
                      <w:sz w:val="24"/>
                    </w:rPr>
                  </w:pPr>
                  <w:r>
                    <w:rPr>
                      <w:rFonts w:hint="eastAsia" w:ascii="宋体" w:hAnsi="宋体"/>
                      <w:sz w:val="24"/>
                    </w:rPr>
                    <w:t>2、委托代理编号：DFAFHU-GP-20190787</w:t>
                  </w:r>
                </w:p>
                <w:p>
                  <w:pPr>
                    <w:ind w:firstLine="480" w:firstLineChars="200"/>
                    <w:rPr>
                      <w:rFonts w:ascii="宋体" w:hAnsi="宋体"/>
                      <w:sz w:val="24"/>
                    </w:rPr>
                  </w:pPr>
                  <w:r>
                    <w:rPr>
                      <w:rFonts w:hint="eastAsia" w:ascii="宋体" w:hAnsi="宋体"/>
                      <w:sz w:val="24"/>
                    </w:rPr>
                    <w:t>3、</w:t>
                  </w:r>
                  <w:r>
                    <w:rPr>
                      <w:rFonts w:ascii="宋体" w:hAnsi="宋体"/>
                      <w:sz w:val="24"/>
                    </w:rPr>
                    <w:t>采购方式：竞争性磋商</w:t>
                  </w:r>
                </w:p>
                <w:p>
                  <w:pPr>
                    <w:ind w:firstLine="480" w:firstLineChars="200"/>
                    <w:rPr>
                      <w:rFonts w:ascii="宋体" w:hAnsi="宋体"/>
                      <w:sz w:val="24"/>
                    </w:rPr>
                  </w:pPr>
                  <w:r>
                    <w:rPr>
                      <w:rFonts w:hint="eastAsia" w:ascii="宋体" w:hAnsi="宋体"/>
                      <w:sz w:val="24"/>
                    </w:rPr>
                    <w:t>4、</w:t>
                  </w:r>
                  <w:r>
                    <w:rPr>
                      <w:rFonts w:ascii="宋体" w:hAnsi="宋体"/>
                      <w:sz w:val="24"/>
                    </w:rPr>
                    <w:t>采购预算：</w:t>
                  </w:r>
                  <w:r>
                    <w:rPr>
                      <w:rFonts w:hint="eastAsia" w:ascii="宋体" w:hAnsi="宋体"/>
                      <w:sz w:val="24"/>
                    </w:rPr>
                    <w:t>247035.00</w:t>
                  </w:r>
                  <w:r>
                    <w:rPr>
                      <w:rFonts w:ascii="宋体" w:hAnsi="宋体"/>
                      <w:sz w:val="24"/>
                    </w:rPr>
                    <w:t>元</w:t>
                  </w:r>
                </w:p>
                <w:p>
                  <w:pPr>
                    <w:rPr>
                      <w:rFonts w:ascii="宋体" w:hAnsi="宋体"/>
                      <w:b/>
                      <w:sz w:val="24"/>
                    </w:rPr>
                  </w:pPr>
                  <w:r>
                    <w:rPr>
                      <w:rFonts w:hint="eastAsia" w:ascii="宋体" w:hAnsi="宋体"/>
                      <w:b/>
                      <w:sz w:val="24"/>
                    </w:rPr>
                    <w:t>二、供应商资格条件：</w:t>
                  </w:r>
                </w:p>
                <w:p>
                  <w:pPr>
                    <w:ind w:firstLine="487" w:firstLineChars="202"/>
                    <w:rPr>
                      <w:rFonts w:ascii="宋体" w:hAnsi="宋体"/>
                      <w:sz w:val="24"/>
                    </w:rPr>
                  </w:pPr>
                  <w:r>
                    <w:rPr>
                      <w:rFonts w:hint="eastAsia" w:ascii="宋体" w:hAnsi="宋体"/>
                      <w:b/>
                      <w:sz w:val="24"/>
                    </w:rPr>
                    <w:t>1、供应商基本资格条件：</w:t>
                  </w:r>
                  <w:r>
                    <w:rPr>
                      <w:rFonts w:hint="eastAsia" w:ascii="宋体" w:hAnsi="宋体"/>
                      <w:sz w:val="24"/>
                    </w:rPr>
                    <w:t>符合《中华人民共和国政府采购法》第二十二条规定的供应商条件。</w:t>
                  </w:r>
                </w:p>
                <w:p>
                  <w:pPr>
                    <w:ind w:firstLine="484" w:firstLineChars="202"/>
                    <w:rPr>
                      <w:rFonts w:ascii="宋体" w:hAnsi="宋体"/>
                      <w:sz w:val="24"/>
                    </w:rPr>
                  </w:pPr>
                  <w:r>
                    <w:rPr>
                      <w:rFonts w:hint="eastAsia" w:ascii="宋体" w:hAnsi="宋体"/>
                      <w:sz w:val="24"/>
                    </w:rPr>
                    <w:t>（1）</w:t>
                  </w:r>
                  <w:r>
                    <w:rPr>
                      <w:rFonts w:ascii="宋体" w:hAnsi="宋体"/>
                      <w:sz w:val="24"/>
                    </w:rPr>
                    <w:t>营业执照副本复印件；</w:t>
                  </w:r>
                </w:p>
                <w:p>
                  <w:pPr>
                    <w:ind w:firstLine="484" w:firstLineChars="202"/>
                    <w:rPr>
                      <w:rFonts w:ascii="宋体" w:hAnsi="宋体"/>
                      <w:sz w:val="24"/>
                    </w:rPr>
                  </w:pPr>
                  <w:r>
                    <w:rPr>
                      <w:rFonts w:ascii="宋体" w:hAnsi="宋体"/>
                      <w:sz w:val="24"/>
                    </w:rPr>
                    <w:t>（2）法定代表人授权委托书原件及双方身份证复印件；</w:t>
                  </w:r>
                </w:p>
                <w:p>
                  <w:pPr>
                    <w:ind w:firstLine="484" w:firstLineChars="202"/>
                    <w:rPr>
                      <w:rFonts w:ascii="宋体" w:hAnsi="宋体"/>
                      <w:sz w:val="24"/>
                    </w:rPr>
                  </w:pPr>
                  <w:r>
                    <w:rPr>
                      <w:rFonts w:ascii="宋体" w:hAnsi="宋体"/>
                      <w:sz w:val="24"/>
                    </w:rPr>
                    <w:t>（3）</w:t>
                  </w:r>
                  <w:r>
                    <w:rPr>
                      <w:rFonts w:hint="eastAsia" w:ascii="宋体" w:hAnsi="宋体"/>
                      <w:sz w:val="24"/>
                    </w:rPr>
                    <w:t>供应商</w:t>
                  </w:r>
                  <w:r>
                    <w:rPr>
                      <w:rFonts w:ascii="宋体" w:hAnsi="宋体"/>
                      <w:sz w:val="24"/>
                    </w:rPr>
                    <w:t>税务登记证(国税或地税)复印件；</w:t>
                  </w:r>
                </w:p>
                <w:p>
                  <w:pPr>
                    <w:ind w:firstLine="484" w:firstLineChars="202"/>
                    <w:rPr>
                      <w:rFonts w:ascii="宋体" w:hAnsi="宋体"/>
                      <w:sz w:val="24"/>
                    </w:rPr>
                  </w:pPr>
                  <w:r>
                    <w:rPr>
                      <w:rFonts w:ascii="宋体" w:hAnsi="宋体"/>
                      <w:sz w:val="24"/>
                    </w:rPr>
                    <w:t>（4）</w:t>
                  </w:r>
                  <w:r>
                    <w:rPr>
                      <w:rFonts w:hint="eastAsia" w:ascii="宋体" w:hAnsi="宋体"/>
                      <w:sz w:val="24"/>
                    </w:rPr>
                    <w:t>供应商</w:t>
                  </w:r>
                  <w:r>
                    <w:rPr>
                      <w:rFonts w:ascii="宋体" w:hAnsi="宋体"/>
                      <w:sz w:val="24"/>
                    </w:rPr>
                    <w:t>社会保险登记证或缴纳社会保险的凭证复印件。</w:t>
                  </w:r>
                </w:p>
                <w:p>
                  <w:pPr>
                    <w:ind w:firstLine="484" w:firstLineChars="202"/>
                    <w:rPr>
                      <w:rFonts w:ascii="宋体" w:hAnsi="宋体"/>
                      <w:sz w:val="24"/>
                    </w:rPr>
                  </w:pPr>
                  <w:r>
                    <w:rPr>
                      <w:rFonts w:ascii="宋体" w:hAnsi="宋体"/>
                      <w:sz w:val="24"/>
                    </w:rPr>
                    <w:t>（5）</w:t>
                  </w:r>
                  <w:r>
                    <w:rPr>
                      <w:rFonts w:hint="eastAsia" w:ascii="宋体" w:hAnsi="宋体"/>
                      <w:sz w:val="24"/>
                    </w:rPr>
                    <w:t>供应商</w:t>
                  </w:r>
                  <w:r>
                    <w:rPr>
                      <w:rFonts w:ascii="宋体" w:hAnsi="宋体"/>
                      <w:sz w:val="24"/>
                    </w:rPr>
                    <w:t>参加本次政府采购活动前3年内没有重大违法记录的书面声明。</w:t>
                  </w:r>
                </w:p>
                <w:p>
                  <w:pPr>
                    <w:ind w:firstLine="487" w:firstLineChars="202"/>
                    <w:rPr>
                      <w:rFonts w:ascii="宋体" w:hAnsi="宋体"/>
                      <w:b/>
                      <w:bCs/>
                      <w:sz w:val="24"/>
                    </w:rPr>
                  </w:pPr>
                  <w:r>
                    <w:rPr>
                      <w:rFonts w:hint="eastAsia" w:ascii="宋体" w:hAnsi="宋体"/>
                      <w:b/>
                      <w:bCs/>
                      <w:sz w:val="24"/>
                    </w:rPr>
                    <w:t>2、供应商特定资格条件：</w:t>
                  </w:r>
                </w:p>
                <w:p>
                  <w:pPr>
                    <w:pStyle w:val="5"/>
                    <w:shd w:val="clear" w:color="auto" w:fill="FFFFFF"/>
                    <w:spacing w:beforeAutospacing="0" w:afterAutospacing="0" w:line="360" w:lineRule="atLeast"/>
                    <w:ind w:firstLine="240" w:firstLineChars="100"/>
                    <w:jc w:val="both"/>
                    <w:rPr>
                      <w:rFonts w:ascii="新宋体" w:hAnsi="新宋体" w:eastAsia="新宋体" w:cs="新宋体"/>
                      <w:color w:val="000000"/>
                      <w:shd w:val="clear" w:color="auto" w:fill="FFFFFF"/>
                    </w:rPr>
                  </w:pPr>
                  <w:r>
                    <w:rPr>
                      <w:rFonts w:hint="eastAsia" w:ascii="新宋体" w:hAnsi="新宋体" w:eastAsia="新宋体" w:cs="Times New Roman"/>
                      <w:kern w:val="2"/>
                    </w:rPr>
                    <w:t>（1）投标人必须具备建设行政主管部门颁发的电力工程施工总承包叁级及以上资质或者输变电工程专业承包三级及以上资质</w:t>
                  </w:r>
                  <w:r>
                    <w:rPr>
                      <w:rFonts w:hint="eastAsia" w:ascii="新宋体" w:hAnsi="新宋体" w:eastAsia="新宋体" w:cs="新宋体"/>
                      <w:color w:val="000000"/>
                      <w:shd w:val="clear" w:color="auto" w:fill="FFFFFF"/>
                    </w:rPr>
                    <w:t>；</w:t>
                  </w:r>
                </w:p>
                <w:p>
                  <w:pPr>
                    <w:pStyle w:val="5"/>
                    <w:shd w:val="clear" w:color="auto" w:fill="FFFFFF"/>
                    <w:spacing w:beforeAutospacing="0" w:afterAutospacing="0" w:line="360" w:lineRule="atLeast"/>
                    <w:ind w:firstLine="240" w:firstLineChars="100"/>
                    <w:jc w:val="both"/>
                    <w:rPr>
                      <w:rFonts w:ascii="新宋体" w:hAnsi="新宋体" w:eastAsia="新宋体" w:cs="新宋体"/>
                      <w:color w:val="000000"/>
                      <w:shd w:val="clear" w:color="auto" w:fill="FFFFFF"/>
                    </w:rPr>
                  </w:pPr>
                  <w:r>
                    <w:rPr>
                      <w:rFonts w:hint="eastAsia" w:ascii="新宋体" w:hAnsi="新宋体" w:eastAsia="新宋体" w:cs="新宋体"/>
                      <w:color w:val="000000"/>
                      <w:shd w:val="clear" w:color="auto" w:fill="FFFFFF"/>
                    </w:rPr>
                    <w:t>（2）投标人具备国家电力监管委员会颁发的承装类五级及以上《承装（修、试）电力设施许可证》；具有安全许可证，并在有效期内；</w:t>
                  </w:r>
                </w:p>
                <w:p>
                  <w:pPr>
                    <w:tabs>
                      <w:tab w:val="left" w:pos="220"/>
                    </w:tabs>
                    <w:adjustRightInd w:val="0"/>
                    <w:snapToGrid w:val="0"/>
                    <w:ind w:firstLine="240" w:firstLineChars="100"/>
                    <w:rPr>
                      <w:rFonts w:ascii="新宋体" w:hAnsi="新宋体" w:eastAsia="新宋体"/>
                      <w:sz w:val="24"/>
                    </w:rPr>
                  </w:pPr>
                  <w:r>
                    <w:rPr>
                      <w:rFonts w:hint="eastAsia" w:ascii="新宋体" w:hAnsi="新宋体" w:eastAsia="新宋体"/>
                      <w:sz w:val="24"/>
                    </w:rPr>
                    <w:t>（3）凡列入失信被执行人、重大税收违法案件当事人名单及政府采购严重违法失信行为记录名单的供应商，一律不允许参与投标。</w:t>
                  </w:r>
                </w:p>
                <w:p>
                  <w:pPr>
                    <w:rPr>
                      <w:rFonts w:ascii="宋体" w:hAnsi="宋体"/>
                      <w:b/>
                      <w:sz w:val="24"/>
                    </w:rPr>
                  </w:pPr>
                  <w:r>
                    <w:rPr>
                      <w:rFonts w:hint="eastAsia" w:ascii="宋体" w:hAnsi="宋体"/>
                      <w:b/>
                      <w:sz w:val="24"/>
                    </w:rPr>
                    <w:t>三、获取磋商文件的时间、地点、方式及磋商文件售价</w:t>
                  </w:r>
                </w:p>
                <w:p>
                  <w:pPr>
                    <w:widowControl/>
                    <w:spacing w:line="420" w:lineRule="atLeast"/>
                    <w:ind w:left="75" w:firstLine="300"/>
                    <w:jc w:val="left"/>
                    <w:rPr>
                      <w:rFonts w:ascii="宋体" w:hAnsi="宋体" w:cs="宋体"/>
                      <w:color w:val="000000"/>
                      <w:kern w:val="0"/>
                      <w:sz w:val="24"/>
                    </w:rPr>
                  </w:pPr>
                  <w:r>
                    <w:rPr>
                      <w:rFonts w:hint="eastAsia" w:ascii="宋体" w:hAnsi="宋体" w:cs="宋体"/>
                      <w:color w:val="000000"/>
                      <w:kern w:val="0"/>
                      <w:sz w:val="24"/>
                    </w:rPr>
                    <w:t>1、获取磋商文件的时间：从2019年</w:t>
                  </w:r>
                  <w:r>
                    <w:rPr>
                      <w:rFonts w:hint="eastAsia" w:ascii="宋体" w:hAnsi="宋体" w:cs="宋体"/>
                      <w:color w:val="000000"/>
                      <w:kern w:val="0"/>
                      <w:sz w:val="24"/>
                      <w:u w:val="single"/>
                    </w:rPr>
                    <w:t>10</w:t>
                  </w:r>
                  <w:r>
                    <w:rPr>
                      <w:rFonts w:hint="eastAsia" w:ascii="宋体" w:hAnsi="宋体" w:cs="宋体"/>
                      <w:color w:val="000000"/>
                      <w:kern w:val="0"/>
                      <w:sz w:val="24"/>
                    </w:rPr>
                    <w:t>月</w:t>
                  </w:r>
                  <w:r>
                    <w:rPr>
                      <w:rFonts w:hint="eastAsia" w:ascii="宋体" w:hAnsi="宋体" w:cs="宋体"/>
                      <w:color w:val="000000"/>
                      <w:kern w:val="0"/>
                      <w:sz w:val="24"/>
                      <w:u w:val="single"/>
                    </w:rPr>
                    <w:t xml:space="preserve"> 24 </w:t>
                  </w:r>
                  <w:r>
                    <w:rPr>
                      <w:rFonts w:hint="eastAsia" w:ascii="宋体" w:hAnsi="宋体" w:cs="宋体"/>
                      <w:color w:val="000000"/>
                      <w:kern w:val="0"/>
                      <w:sz w:val="24"/>
                    </w:rPr>
                    <w:t>日 起至2019年</w:t>
                  </w:r>
                  <w:r>
                    <w:rPr>
                      <w:rFonts w:hint="eastAsia" w:ascii="宋体" w:hAnsi="宋体" w:cs="宋体"/>
                      <w:color w:val="000000"/>
                      <w:kern w:val="0"/>
                      <w:sz w:val="24"/>
                      <w:u w:val="single"/>
                    </w:rPr>
                    <w:t xml:space="preserve"> 10 </w:t>
                  </w:r>
                  <w:r>
                    <w:rPr>
                      <w:rFonts w:hint="eastAsia" w:ascii="宋体" w:hAnsi="宋体" w:cs="宋体"/>
                      <w:color w:val="000000"/>
                      <w:kern w:val="0"/>
                      <w:sz w:val="24"/>
                    </w:rPr>
                    <w:t>月</w:t>
                  </w:r>
                  <w:r>
                    <w:rPr>
                      <w:rFonts w:hint="eastAsia" w:ascii="宋体" w:hAnsi="宋体" w:cs="宋体"/>
                      <w:color w:val="000000"/>
                      <w:kern w:val="0"/>
                      <w:sz w:val="24"/>
                      <w:u w:val="single"/>
                    </w:rPr>
                    <w:t xml:space="preserve"> 28 </w:t>
                  </w:r>
                  <w:r>
                    <w:rPr>
                      <w:rFonts w:hint="eastAsia" w:ascii="宋体" w:hAnsi="宋体" w:cs="宋体"/>
                      <w:color w:val="000000"/>
                      <w:kern w:val="0"/>
                      <w:sz w:val="24"/>
                    </w:rPr>
                    <w:t>日 17:00止，每天上午9:00至11:00、下午15:00至17:00(北京时间,节假日不休息)。</w:t>
                  </w:r>
                </w:p>
                <w:p>
                  <w:pPr>
                    <w:pStyle w:val="5"/>
                    <w:spacing w:beforeAutospacing="0" w:afterAutospacing="0" w:line="400" w:lineRule="atLeast"/>
                    <w:ind w:firstLine="440"/>
                    <w:jc w:val="both"/>
                    <w:rPr>
                      <w:color w:val="000000"/>
                    </w:rPr>
                  </w:pPr>
                  <w:r>
                    <w:rPr>
                      <w:rFonts w:hint="eastAsia"/>
                      <w:color w:val="000000"/>
                    </w:rPr>
                    <w:t>2、获取磋商文件的地点：北京典方建设工程咨询有限公司（衡阳市高新区长丰大道汇景花园2栋1单元3006室）。</w:t>
                  </w:r>
                </w:p>
                <w:p>
                  <w:pPr>
                    <w:pStyle w:val="5"/>
                    <w:spacing w:beforeAutospacing="0" w:afterAutospacing="0" w:line="400" w:lineRule="atLeast"/>
                    <w:ind w:firstLine="440"/>
                    <w:jc w:val="both"/>
                    <w:rPr>
                      <w:color w:val="000000"/>
                    </w:rPr>
                  </w:pPr>
                  <w:r>
                    <w:rPr>
                      <w:rFonts w:hint="eastAsia"/>
                      <w:color w:val="000000"/>
                    </w:rPr>
                    <w:t>3、法定代表人资格证明书件或者法定代表人授权委托书原件（法定代表人签字并盖章）并附法定代表人身份证明复印件；自然人提交身份证明复印件；</w:t>
                  </w:r>
                </w:p>
                <w:p>
                  <w:pPr>
                    <w:pStyle w:val="5"/>
                    <w:spacing w:beforeAutospacing="0" w:afterAutospacing="0" w:line="400" w:lineRule="atLeast"/>
                    <w:ind w:firstLine="440"/>
                    <w:jc w:val="both"/>
                    <w:rPr>
                      <w:color w:val="000000"/>
                    </w:rPr>
                  </w:pPr>
                  <w:r>
                    <w:rPr>
                      <w:rFonts w:hint="eastAsia"/>
                      <w:color w:val="000000"/>
                    </w:rPr>
                    <w:t>4、企业法人营业执照副本(或者法人登记证书)以及组织机构代码证副本复印件；</w:t>
                  </w:r>
                </w:p>
                <w:p>
                  <w:pPr>
                    <w:pStyle w:val="5"/>
                    <w:spacing w:beforeAutospacing="0" w:afterAutospacing="0" w:line="400" w:lineRule="atLeast"/>
                    <w:ind w:firstLine="440"/>
                    <w:jc w:val="both"/>
                    <w:rPr>
                      <w:color w:val="000000"/>
                    </w:rPr>
                  </w:pPr>
                  <w:r>
                    <w:rPr>
                      <w:rFonts w:hint="eastAsia"/>
                      <w:color w:val="000000"/>
                    </w:rPr>
                    <w:t>5、</w:t>
                  </w:r>
                  <w:r>
                    <w:rPr>
                      <w:rFonts w:hint="eastAsia" w:ascii="新宋体" w:hAnsi="新宋体" w:eastAsia="新宋体" w:cs="Times New Roman"/>
                      <w:kern w:val="2"/>
                    </w:rPr>
                    <w:t>电力工程施工总承包叁级及以上资质或者输变电工程专业承包三级及以上资质证书</w:t>
                  </w:r>
                  <w:r>
                    <w:rPr>
                      <w:rFonts w:hint="eastAsia"/>
                      <w:color w:val="000000"/>
                    </w:rPr>
                    <w:t>复印件</w:t>
                  </w:r>
                  <w:r>
                    <w:rPr>
                      <w:rFonts w:hint="eastAsia" w:ascii="新宋体" w:hAnsi="新宋体" w:eastAsia="新宋体" w:cs="Times New Roman"/>
                      <w:kern w:val="2"/>
                    </w:rPr>
                    <w:t>及</w:t>
                  </w:r>
                  <w:r>
                    <w:rPr>
                      <w:rFonts w:hint="eastAsia" w:ascii="新宋体" w:hAnsi="新宋体" w:eastAsia="新宋体" w:cs="新宋体"/>
                      <w:color w:val="000000"/>
                      <w:shd w:val="clear" w:color="auto" w:fill="FFFFFF"/>
                    </w:rPr>
                    <w:t>承装类五级及以上《承装（修、试）电力设施许可证》</w:t>
                  </w:r>
                  <w:r>
                    <w:rPr>
                      <w:rFonts w:hint="eastAsia"/>
                      <w:color w:val="000000"/>
                    </w:rPr>
                    <w:t>复印件</w:t>
                  </w:r>
                  <w:r>
                    <w:rPr>
                      <w:rFonts w:hint="eastAsia" w:ascii="新宋体" w:hAnsi="新宋体" w:eastAsia="新宋体" w:cs="新宋体"/>
                      <w:color w:val="000000"/>
                      <w:shd w:val="clear" w:color="auto" w:fill="FFFFFF"/>
                    </w:rPr>
                    <w:t>；</w:t>
                  </w:r>
                </w:p>
                <w:p>
                  <w:pPr>
                    <w:pStyle w:val="5"/>
                    <w:spacing w:beforeAutospacing="0" w:afterAutospacing="0" w:line="400" w:lineRule="atLeast"/>
                    <w:ind w:firstLine="440"/>
                    <w:jc w:val="both"/>
                    <w:rPr>
                      <w:color w:val="000000"/>
                    </w:rPr>
                  </w:pPr>
                  <w:r>
                    <w:rPr>
                      <w:rFonts w:hint="eastAsia"/>
                      <w:color w:val="000000"/>
                    </w:rPr>
                    <w:t>6、依法缴纳税收和社会保险费的证明材料：《税务登记证》和《社会保险登记证》的复印件，或者近三个月依法缴纳税收和社会保险费的证明（纳税及缴费凭证复印件），或者委托他人缴纳的委托代办协议和近三个月的缴纳证明（收据复印件），或者法定征收机关出具的依法免缴税费的证明原件；</w:t>
                  </w:r>
                </w:p>
                <w:p>
                  <w:pPr>
                    <w:pStyle w:val="5"/>
                    <w:spacing w:beforeAutospacing="0" w:afterAutospacing="0" w:line="400" w:lineRule="atLeast"/>
                    <w:ind w:firstLine="440"/>
                    <w:jc w:val="both"/>
                    <w:rPr>
                      <w:color w:val="000000"/>
                    </w:rPr>
                  </w:pPr>
                  <w:r>
                    <w:rPr>
                      <w:rFonts w:hint="eastAsia"/>
                      <w:color w:val="000000"/>
                    </w:rPr>
                    <w:t>7、其他说明：投标人提供公告之日起通过“信用中国”网站（www.creditchina.gov.cn）或中国政府采购网（www.ccgp.gov.cn）查询的信用记录网上打印件，应包括网站网址、查询内容、查询时间。</w:t>
                  </w:r>
                </w:p>
                <w:p>
                  <w:pPr>
                    <w:pStyle w:val="5"/>
                    <w:spacing w:beforeAutospacing="0" w:afterAutospacing="0" w:line="400" w:lineRule="atLeast"/>
                    <w:ind w:firstLine="440"/>
                    <w:jc w:val="both"/>
                    <w:rPr>
                      <w:rFonts w:ascii="Times New Roman" w:hAnsi="Times New Roman" w:cs="Times New Roman"/>
                      <w:color w:val="000000"/>
                    </w:rPr>
                  </w:pPr>
                  <w:r>
                    <w:rPr>
                      <w:rFonts w:hint="eastAsia"/>
                      <w:color w:val="000000"/>
                    </w:rPr>
                    <w:t>8、磋商文件售价：400元/份，售后不退。</w:t>
                  </w:r>
                </w:p>
                <w:p>
                  <w:pPr>
                    <w:rPr>
                      <w:rFonts w:ascii="宋体" w:hAnsi="宋体"/>
                      <w:b/>
                      <w:sz w:val="24"/>
                    </w:rPr>
                  </w:pPr>
                  <w:r>
                    <w:rPr>
                      <w:rFonts w:hint="eastAsia" w:ascii="宋体" w:hAnsi="宋体"/>
                      <w:b/>
                      <w:sz w:val="24"/>
                    </w:rPr>
                    <w:t>四、响应文件提交的截止时间、开启时间及地点</w:t>
                  </w:r>
                </w:p>
                <w:p>
                  <w:pPr>
                    <w:widowControl/>
                    <w:spacing w:line="420" w:lineRule="atLeast"/>
                    <w:ind w:left="75" w:firstLine="300"/>
                    <w:jc w:val="left"/>
                    <w:rPr>
                      <w:rFonts w:ascii="宋体" w:hAnsi="宋体" w:cs="宋体"/>
                      <w:color w:val="000000"/>
                      <w:kern w:val="0"/>
                      <w:sz w:val="24"/>
                      <w:u w:val="single"/>
                    </w:rPr>
                  </w:pPr>
                  <w:r>
                    <w:rPr>
                      <w:rFonts w:hint="eastAsia" w:ascii="宋体" w:hAnsi="宋体" w:cs="宋体"/>
                      <w:color w:val="000000"/>
                      <w:kern w:val="0"/>
                      <w:sz w:val="24"/>
                    </w:rPr>
                    <w:t>首次响应文件的提交截止时间：2019年</w:t>
                  </w:r>
                  <w:r>
                    <w:rPr>
                      <w:rFonts w:hint="eastAsia" w:ascii="宋体" w:hAnsi="宋体" w:cs="宋体"/>
                      <w:color w:val="000000"/>
                      <w:kern w:val="0"/>
                      <w:sz w:val="24"/>
                      <w:u w:val="single"/>
                    </w:rPr>
                    <w:t xml:space="preserve"> 11 </w:t>
                  </w:r>
                  <w:r>
                    <w:rPr>
                      <w:rFonts w:hint="eastAsia" w:ascii="宋体" w:hAnsi="宋体" w:cs="宋体"/>
                      <w:color w:val="000000"/>
                      <w:kern w:val="0"/>
                      <w:sz w:val="24"/>
                    </w:rPr>
                    <w:t>月</w:t>
                  </w:r>
                  <w:r>
                    <w:rPr>
                      <w:rFonts w:hint="eastAsia" w:ascii="宋体" w:hAnsi="宋体" w:cs="宋体"/>
                      <w:color w:val="000000"/>
                      <w:kern w:val="0"/>
                      <w:sz w:val="24"/>
                      <w:u w:val="single"/>
                    </w:rPr>
                    <w:t xml:space="preserve"> 1 </w:t>
                  </w:r>
                  <w:r>
                    <w:rPr>
                      <w:rFonts w:hint="eastAsia" w:ascii="宋体" w:hAnsi="宋体" w:cs="宋体"/>
                      <w:color w:val="000000"/>
                      <w:kern w:val="0"/>
                      <w:sz w:val="24"/>
                    </w:rPr>
                    <w:t xml:space="preserve">日 </w:t>
                  </w:r>
                  <w:r>
                    <w:rPr>
                      <w:rFonts w:hint="eastAsia" w:ascii="宋体" w:hAnsi="宋体" w:cs="宋体"/>
                      <w:color w:val="000000"/>
                      <w:kern w:val="0"/>
                      <w:sz w:val="24"/>
                      <w:u w:val="single"/>
                    </w:rPr>
                    <w:t>15:00</w:t>
                  </w:r>
                </w:p>
                <w:p>
                  <w:pPr>
                    <w:widowControl/>
                    <w:spacing w:line="420" w:lineRule="atLeast"/>
                    <w:ind w:left="75" w:firstLine="300"/>
                    <w:jc w:val="left"/>
                    <w:rPr>
                      <w:rFonts w:ascii="宋体" w:hAnsi="宋体" w:cs="宋体"/>
                      <w:color w:val="000000"/>
                      <w:kern w:val="0"/>
                      <w:sz w:val="24"/>
                    </w:rPr>
                  </w:pPr>
                  <w:r>
                    <w:rPr>
                      <w:rFonts w:hint="eastAsia" w:ascii="宋体" w:hAnsi="宋体" w:cs="宋体"/>
                      <w:color w:val="000000"/>
                      <w:kern w:val="0"/>
                      <w:sz w:val="24"/>
                    </w:rPr>
                    <w:t>首次响应文件的开启时间：2019年</w:t>
                  </w:r>
                  <w:r>
                    <w:rPr>
                      <w:rFonts w:hint="eastAsia" w:ascii="宋体" w:hAnsi="宋体" w:cs="宋体"/>
                      <w:color w:val="000000"/>
                      <w:kern w:val="0"/>
                      <w:sz w:val="24"/>
                      <w:u w:val="single"/>
                    </w:rPr>
                    <w:t>11</w:t>
                  </w:r>
                  <w:r>
                    <w:rPr>
                      <w:rFonts w:hint="eastAsia" w:ascii="宋体" w:hAnsi="宋体" w:cs="宋体"/>
                      <w:color w:val="000000"/>
                      <w:kern w:val="0"/>
                      <w:sz w:val="24"/>
                    </w:rPr>
                    <w:t>月</w:t>
                  </w:r>
                  <w:r>
                    <w:rPr>
                      <w:rFonts w:hint="eastAsia" w:ascii="宋体" w:hAnsi="宋体" w:cs="宋体"/>
                      <w:color w:val="000000"/>
                      <w:kern w:val="0"/>
                      <w:sz w:val="24"/>
                      <w:u w:val="single"/>
                    </w:rPr>
                    <w:t>1</w:t>
                  </w:r>
                  <w:r>
                    <w:rPr>
                      <w:rFonts w:hint="eastAsia" w:ascii="宋体" w:hAnsi="宋体" w:cs="宋体"/>
                      <w:color w:val="000000"/>
                      <w:kern w:val="0"/>
                      <w:sz w:val="24"/>
                    </w:rPr>
                    <w:t xml:space="preserve">日 </w:t>
                  </w:r>
                  <w:r>
                    <w:rPr>
                      <w:rFonts w:hint="eastAsia" w:ascii="宋体" w:hAnsi="宋体" w:cs="宋体"/>
                      <w:color w:val="000000"/>
                      <w:kern w:val="0"/>
                      <w:sz w:val="24"/>
                      <w:u w:val="single"/>
                    </w:rPr>
                    <w:t>15:00</w:t>
                  </w:r>
                </w:p>
                <w:p>
                  <w:pPr>
                    <w:widowControl/>
                    <w:spacing w:line="420" w:lineRule="atLeast"/>
                    <w:ind w:left="75" w:firstLine="300"/>
                    <w:jc w:val="left"/>
                    <w:rPr>
                      <w:rFonts w:ascii="宋体" w:hAnsi="宋体" w:cs="宋体"/>
                      <w:color w:val="000000"/>
                      <w:kern w:val="0"/>
                      <w:sz w:val="24"/>
                    </w:rPr>
                  </w:pPr>
                  <w:r>
                    <w:rPr>
                      <w:rFonts w:hint="eastAsia" w:ascii="宋体" w:hAnsi="宋体" w:cs="宋体"/>
                      <w:color w:val="000000"/>
                      <w:kern w:val="0"/>
                      <w:sz w:val="24"/>
                    </w:rPr>
                    <w:t>首次响应文件的开启地点：北京典方建设工程咨询有限公司（衡阳市高新区长丰大道汇景花园2栋1单元3006室）</w:t>
                  </w:r>
                </w:p>
                <w:p>
                  <w:pPr>
                    <w:rPr>
                      <w:rFonts w:ascii="宋体" w:hAnsi="宋体"/>
                      <w:b/>
                      <w:sz w:val="24"/>
                    </w:rPr>
                  </w:pPr>
                  <w:r>
                    <w:rPr>
                      <w:rFonts w:hint="eastAsia" w:ascii="宋体" w:hAnsi="宋体"/>
                      <w:b/>
                      <w:sz w:val="24"/>
                    </w:rPr>
                    <w:t>五、采购项目联系人姓名和电话</w:t>
                  </w:r>
                </w:p>
                <w:p>
                  <w:pPr>
                    <w:ind w:firstLine="484" w:firstLineChars="202"/>
                    <w:rPr>
                      <w:rFonts w:ascii="宋体" w:hAnsi="宋体"/>
                      <w:sz w:val="24"/>
                    </w:rPr>
                  </w:pPr>
                  <w:r>
                    <w:rPr>
                      <w:rFonts w:hint="eastAsia" w:ascii="宋体" w:hAnsi="宋体"/>
                      <w:sz w:val="24"/>
                    </w:rPr>
                    <w:t>采购人名称：湖南财经工业职业技术学院</w:t>
                  </w:r>
                </w:p>
                <w:p>
                  <w:pPr>
                    <w:ind w:firstLine="484" w:firstLineChars="202"/>
                    <w:rPr>
                      <w:rFonts w:ascii="宋体" w:hAnsi="宋体"/>
                      <w:sz w:val="24"/>
                    </w:rPr>
                  </w:pPr>
                  <w:r>
                    <w:rPr>
                      <w:rFonts w:hint="eastAsia" w:ascii="宋体" w:hAnsi="宋体"/>
                      <w:sz w:val="24"/>
                    </w:rPr>
                    <w:t>地址：湖南省衡阳市珠晖区狮山路20号</w:t>
                  </w:r>
                </w:p>
                <w:p>
                  <w:pPr>
                    <w:ind w:firstLine="484" w:firstLineChars="202"/>
                    <w:rPr>
                      <w:rFonts w:ascii="宋体" w:hAnsi="宋体"/>
                      <w:sz w:val="24"/>
                    </w:rPr>
                  </w:pPr>
                  <w:r>
                    <w:rPr>
                      <w:rFonts w:hint="eastAsia" w:ascii="宋体" w:hAnsi="宋体"/>
                      <w:sz w:val="24"/>
                    </w:rPr>
                    <w:t>电话：13807345450</w:t>
                  </w:r>
                </w:p>
                <w:p>
                  <w:pPr>
                    <w:ind w:firstLine="484" w:firstLineChars="202"/>
                    <w:rPr>
                      <w:rFonts w:ascii="宋体" w:hAnsi="宋体"/>
                      <w:sz w:val="24"/>
                    </w:rPr>
                  </w:pPr>
                  <w:r>
                    <w:rPr>
                      <w:rFonts w:hint="eastAsia" w:ascii="宋体" w:hAnsi="宋体"/>
                      <w:sz w:val="24"/>
                    </w:rPr>
                    <w:t>联系人：李老师</w:t>
                  </w:r>
                </w:p>
                <w:p>
                  <w:pPr>
                    <w:ind w:firstLine="484" w:firstLineChars="202"/>
                    <w:rPr>
                      <w:rFonts w:ascii="宋体" w:hAnsi="宋体"/>
                      <w:sz w:val="24"/>
                    </w:rPr>
                  </w:pPr>
                  <w:r>
                    <w:rPr>
                      <w:rFonts w:hint="eastAsia" w:ascii="宋体" w:hAnsi="宋体"/>
                      <w:sz w:val="24"/>
                    </w:rPr>
                    <w:t>采购代理机构名称：北京典方建设工程咨询有限公司</w:t>
                  </w:r>
                </w:p>
                <w:p>
                  <w:pPr>
                    <w:ind w:firstLine="484" w:firstLineChars="202"/>
                    <w:rPr>
                      <w:rFonts w:ascii="宋体" w:hAnsi="宋体"/>
                      <w:sz w:val="24"/>
                    </w:rPr>
                  </w:pPr>
                  <w:r>
                    <w:rPr>
                      <w:rFonts w:hint="eastAsia" w:ascii="宋体" w:hAnsi="宋体"/>
                      <w:sz w:val="24"/>
                    </w:rPr>
                    <w:t>地址：衡阳市高新区长丰大道汇景花园2栋1单元3006室</w:t>
                  </w:r>
                </w:p>
                <w:p>
                  <w:pPr>
                    <w:ind w:firstLine="484" w:firstLineChars="202"/>
                    <w:rPr>
                      <w:rFonts w:ascii="宋体" w:hAnsi="宋体"/>
                      <w:sz w:val="24"/>
                    </w:rPr>
                  </w:pPr>
                  <w:r>
                    <w:rPr>
                      <w:rFonts w:hint="eastAsia" w:ascii="宋体" w:hAnsi="宋体"/>
                      <w:sz w:val="24"/>
                    </w:rPr>
                    <w:t>联系人：罗女士</w:t>
                  </w:r>
                </w:p>
                <w:p>
                  <w:pPr>
                    <w:ind w:firstLine="484" w:firstLineChars="202"/>
                    <w:rPr>
                      <w:rFonts w:ascii="宋体" w:hAnsi="宋体"/>
                      <w:sz w:val="24"/>
                    </w:rPr>
                  </w:pPr>
                  <w:r>
                    <w:rPr>
                      <w:rFonts w:hint="eastAsia" w:ascii="宋体" w:hAnsi="宋体"/>
                      <w:sz w:val="24"/>
                    </w:rPr>
                    <w:t>电话：13017162281</w:t>
                  </w:r>
                </w:p>
                <w:p>
                  <w:pPr>
                    <w:widowControl/>
                    <w:jc w:val="left"/>
                    <w:rPr>
                      <w:rFonts w:ascii="宋体" w:hAnsi="宋体" w:cs="宋体"/>
                      <w:color w:val="000000"/>
                      <w:sz w:val="28"/>
                      <w:szCs w:val="28"/>
                    </w:rPr>
                  </w:pPr>
                </w:p>
              </w:tc>
            </w:tr>
            <w:tr>
              <w:tblPrEx>
                <w:tblLayout w:type="fixed"/>
                <w:tblCellMar>
                  <w:top w:w="30" w:type="dxa"/>
                  <w:left w:w="30" w:type="dxa"/>
                  <w:bottom w:w="30" w:type="dxa"/>
                  <w:right w:w="30" w:type="dxa"/>
                </w:tblCellMar>
              </w:tblPrEx>
              <w:trPr>
                <w:trHeight w:val="375" w:hRule="atLeast"/>
                <w:tblCellSpacing w:w="7" w:type="dxa"/>
              </w:trPr>
              <w:tc>
                <w:tcPr>
                  <w:tcW w:w="9854" w:type="dxa"/>
                  <w:vAlign w:val="center"/>
                </w:tcPr>
                <w:p>
                  <w:pPr>
                    <w:ind w:right="960"/>
                    <w:jc w:val="right"/>
                    <w:rPr>
                      <w:rFonts w:ascii="宋体"/>
                      <w:sz w:val="24"/>
                    </w:rPr>
                  </w:pPr>
                </w:p>
              </w:tc>
            </w:tr>
          </w:tbl>
          <w:p>
            <w:pPr>
              <w:jc w:val="right"/>
              <w:rPr>
                <w:rFonts w:ascii="宋体" w:hAnsi="宋体" w:cs="宋体"/>
                <w:color w:val="000000"/>
                <w:sz w:val="27"/>
                <w:szCs w:val="27"/>
              </w:rPr>
            </w:pPr>
          </w:p>
        </w:tc>
      </w:tr>
      <w:tr>
        <w:tblPrEx>
          <w:tblLayout w:type="fixed"/>
          <w:tblCellMar>
            <w:top w:w="30" w:type="dxa"/>
            <w:left w:w="30" w:type="dxa"/>
            <w:bottom w:w="30" w:type="dxa"/>
            <w:right w:w="30" w:type="dxa"/>
          </w:tblCellMar>
        </w:tblPrEx>
        <w:trPr>
          <w:tblCellSpacing w:w="0" w:type="dxa"/>
          <w:jc w:val="center"/>
        </w:trPr>
        <w:tc>
          <w:tcPr>
            <w:tcW w:w="9855" w:type="dxa"/>
            <w:vAlign w:val="center"/>
          </w:tcPr>
          <w:tbl>
            <w:tblPr>
              <w:tblStyle w:val="6"/>
              <w:tblW w:w="9690" w:type="dxa"/>
              <w:jc w:val="center"/>
              <w:tblCellSpacing w:w="7" w:type="dxa"/>
              <w:tblInd w:w="0" w:type="dxa"/>
              <w:tblLayout w:type="fixed"/>
              <w:tblCellMar>
                <w:top w:w="45" w:type="dxa"/>
                <w:left w:w="45" w:type="dxa"/>
                <w:bottom w:w="45" w:type="dxa"/>
                <w:right w:w="45" w:type="dxa"/>
              </w:tblCellMar>
            </w:tblPr>
            <w:tblGrid>
              <w:gridCol w:w="9690"/>
            </w:tblGrid>
            <w:tr>
              <w:tblPrEx>
                <w:tblLayout w:type="fixed"/>
                <w:tblCellMar>
                  <w:top w:w="45" w:type="dxa"/>
                  <w:left w:w="45" w:type="dxa"/>
                  <w:bottom w:w="45" w:type="dxa"/>
                  <w:right w:w="45" w:type="dxa"/>
                </w:tblCellMar>
              </w:tblPrEx>
              <w:trPr>
                <w:tblCellSpacing w:w="7" w:type="dxa"/>
                <w:jc w:val="center"/>
              </w:trPr>
              <w:tc>
                <w:tcPr>
                  <w:tcW w:w="9662" w:type="dxa"/>
                  <w:vAlign w:val="center"/>
                </w:tcPr>
                <w:p>
                  <w:pPr>
                    <w:rPr>
                      <w:rFonts w:ascii="宋体"/>
                      <w:sz w:val="24"/>
                    </w:rPr>
                  </w:pPr>
                </w:p>
              </w:tc>
            </w:tr>
          </w:tbl>
          <w:p>
            <w:pPr>
              <w:rPr>
                <w:rFonts w:ascii="宋体" w:hAnsi="宋体" w:cs="宋体"/>
                <w:color w:val="000000"/>
                <w:sz w:val="27"/>
                <w:szCs w:val="27"/>
              </w:rPr>
            </w:pPr>
          </w:p>
        </w:tc>
      </w:tr>
    </w:tbl>
    <w:p/>
    <w:p>
      <w:pPr>
        <w:widowControl/>
        <w:spacing w:line="360" w:lineRule="auto"/>
      </w:pPr>
    </w:p>
    <w:sectPr>
      <w:pgSz w:w="11906" w:h="16838"/>
      <w:pgMar w:top="1043" w:right="1633" w:bottom="1043" w:left="163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新宋体">
    <w:panose1 w:val="02010609030101010101"/>
    <w:charset w:val="86"/>
    <w:family w:val="modern"/>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NotTrackMove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25DC"/>
    <w:rsid w:val="001A351F"/>
    <w:rsid w:val="005525DC"/>
    <w:rsid w:val="00583AA5"/>
    <w:rsid w:val="00594BA5"/>
    <w:rsid w:val="00794A54"/>
    <w:rsid w:val="00835816"/>
    <w:rsid w:val="00917FD5"/>
    <w:rsid w:val="00D91DA9"/>
    <w:rsid w:val="28AF24AE"/>
    <w:rsid w:val="7E851519"/>
    <w:rsid w:val="7FA338E8"/>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黑体"/>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Plain Text"/>
    <w:basedOn w:val="1"/>
    <w:link w:val="14"/>
    <w:semiHidden/>
    <w:unhideWhenUsed/>
    <w:qFormat/>
    <w:uiPriority w:val="99"/>
    <w:rPr>
      <w:rFonts w:ascii="宋体" w:hAnsi="Courier New" w:cs="Times New Roman"/>
      <w:szCs w:val="21"/>
    </w:rPr>
  </w:style>
  <w:style w:type="paragraph" w:styleId="3">
    <w:name w:val="footer"/>
    <w:basedOn w:val="1"/>
    <w:qFormat/>
    <w:uiPriority w:val="0"/>
    <w:pPr>
      <w:tabs>
        <w:tab w:val="center" w:pos="4153"/>
        <w:tab w:val="right" w:pos="8306"/>
      </w:tabs>
      <w:snapToGrid w:val="0"/>
      <w:jc w:val="left"/>
    </w:pPr>
    <w:rPr>
      <w:rFonts w:cs="Calibri"/>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rFonts w:cs="Calibri"/>
      <w:sz w:val="18"/>
      <w:szCs w:val="18"/>
    </w:rPr>
  </w:style>
  <w:style w:type="paragraph" w:styleId="5">
    <w:name w:val="Normal (Web)"/>
    <w:basedOn w:val="1"/>
    <w:qFormat/>
    <w:uiPriority w:val="0"/>
    <w:pPr>
      <w:widowControl/>
      <w:spacing w:before="100" w:beforeAutospacing="1" w:after="100" w:afterAutospacing="1" w:line="360" w:lineRule="auto"/>
      <w:jc w:val="left"/>
    </w:pPr>
    <w:rPr>
      <w:rFonts w:ascii="宋体" w:hAnsi="宋体" w:cs="宋体"/>
      <w:kern w:val="0"/>
      <w:sz w:val="24"/>
    </w:rPr>
  </w:style>
  <w:style w:type="character" w:styleId="8">
    <w:name w:val="Hyperlink"/>
    <w:qFormat/>
    <w:uiPriority w:val="0"/>
    <w:rPr>
      <w:color w:val="0000FF"/>
      <w:u w:val="single"/>
    </w:rPr>
  </w:style>
  <w:style w:type="paragraph" w:customStyle="1" w:styleId="9">
    <w:name w:val="纯文本1"/>
    <w:qFormat/>
    <w:uiPriority w:val="0"/>
    <w:rPr>
      <w:rFonts w:ascii="宋体" w:hAnsi="Courier New" w:eastAsia="宋体" w:cs="Courier New"/>
      <w:kern w:val="2"/>
      <w:sz w:val="21"/>
      <w:szCs w:val="21"/>
      <w:lang w:val="en-US" w:eastAsia="zh-CN" w:bidi="ar-SA"/>
    </w:rPr>
  </w:style>
  <w:style w:type="paragraph" w:customStyle="1" w:styleId="10">
    <w:name w:val="普通(网站)1"/>
    <w:basedOn w:val="1"/>
    <w:qFormat/>
    <w:uiPriority w:val="0"/>
    <w:pPr>
      <w:spacing w:beforeAutospacing="1" w:afterAutospacing="1"/>
      <w:jc w:val="left"/>
    </w:pPr>
    <w:rPr>
      <w:kern w:val="0"/>
      <w:sz w:val="24"/>
    </w:rPr>
  </w:style>
  <w:style w:type="paragraph" w:customStyle="1" w:styleId="11">
    <w:name w:val="纯文本2"/>
    <w:basedOn w:val="1"/>
    <w:qFormat/>
    <w:uiPriority w:val="0"/>
    <w:rPr>
      <w:rFonts w:ascii="宋体" w:hAnsi="Courier New" w:cs="Courier New"/>
      <w:szCs w:val="21"/>
    </w:rPr>
  </w:style>
  <w:style w:type="character" w:customStyle="1" w:styleId="12">
    <w:name w:val="页码1"/>
    <w:basedOn w:val="7"/>
    <w:qFormat/>
    <w:uiPriority w:val="0"/>
  </w:style>
  <w:style w:type="character" w:customStyle="1" w:styleId="13">
    <w:name w:val="页码2"/>
    <w:basedOn w:val="7"/>
    <w:qFormat/>
    <w:uiPriority w:val="0"/>
  </w:style>
  <w:style w:type="character" w:customStyle="1" w:styleId="14">
    <w:name w:val="纯文本 Char"/>
    <w:link w:val="2"/>
    <w:semiHidden/>
    <w:qFormat/>
    <w:uiPriority w:val="99"/>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Pages>
  <Words>234</Words>
  <Characters>1334</Characters>
  <Lines>11</Lines>
  <Paragraphs>3</Paragraphs>
  <TotalTime>2</TotalTime>
  <ScaleCrop>false</ScaleCrop>
  <LinksUpToDate>false</LinksUpToDate>
  <CharactersWithSpaces>1565</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2018-02-05T05:18:00Z</dcterms:created>
  <dc:creator>Administrator</dc:creator>
  <cp:lastModifiedBy>锦珠</cp:lastModifiedBy>
  <cp:lastPrinted>2018-05-25T08:59:00Z</cp:lastPrinted>
  <dcterms:modified xsi:type="dcterms:W3CDTF">2019-10-24T11:15:46Z</dcterms:modified>
  <dc:title>Administrator</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